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60" w:rsidRDefault="00643A60" w:rsidP="00780302">
      <w:pPr>
        <w:jc w:val="center"/>
        <w:rPr>
          <w:b/>
          <w:sz w:val="24"/>
          <w:szCs w:val="24"/>
        </w:rPr>
      </w:pPr>
    </w:p>
    <w:p w:rsidR="00643A60" w:rsidRDefault="00643A60" w:rsidP="00780302">
      <w:pPr>
        <w:jc w:val="center"/>
        <w:rPr>
          <w:b/>
          <w:sz w:val="24"/>
          <w:szCs w:val="24"/>
        </w:rPr>
      </w:pPr>
      <w:r>
        <w:rPr>
          <w:b/>
          <w:noProof/>
          <w:sz w:val="24"/>
          <w:szCs w:val="24"/>
          <w:lang w:eastAsia="cs-CZ"/>
        </w:rPr>
        <w:drawing>
          <wp:inline distT="0" distB="0" distL="0" distR="0">
            <wp:extent cx="5760720" cy="1919087"/>
            <wp:effectExtent l="0" t="0" r="0" b="0"/>
            <wp:docPr id="1" name="Obrázek 1" descr="C:\Users\vlasbl\Desktop\driten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bl\Desktop\driten_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919087"/>
                    </a:xfrm>
                    <a:prstGeom prst="rect">
                      <a:avLst/>
                    </a:prstGeom>
                    <a:noFill/>
                    <a:ln>
                      <a:noFill/>
                    </a:ln>
                  </pic:spPr>
                </pic:pic>
              </a:graphicData>
            </a:graphic>
          </wp:inline>
        </w:drawing>
      </w:r>
    </w:p>
    <w:p w:rsidR="00643A60" w:rsidRDefault="00643A60" w:rsidP="00780302">
      <w:pPr>
        <w:jc w:val="center"/>
        <w:rPr>
          <w:b/>
          <w:sz w:val="24"/>
          <w:szCs w:val="24"/>
        </w:rPr>
      </w:pPr>
    </w:p>
    <w:p w:rsidR="00643A60" w:rsidRDefault="00643A60" w:rsidP="00780302">
      <w:pPr>
        <w:jc w:val="center"/>
        <w:rPr>
          <w:b/>
          <w:sz w:val="24"/>
          <w:szCs w:val="24"/>
        </w:rPr>
      </w:pPr>
    </w:p>
    <w:p w:rsidR="00711BDC" w:rsidRDefault="00780302" w:rsidP="00780302">
      <w:pPr>
        <w:jc w:val="center"/>
        <w:rPr>
          <w:b/>
          <w:sz w:val="24"/>
          <w:szCs w:val="24"/>
        </w:rPr>
      </w:pPr>
      <w:r>
        <w:rPr>
          <w:b/>
          <w:sz w:val="24"/>
          <w:szCs w:val="24"/>
        </w:rPr>
        <w:t>Směrnice k provádění doplňkové činnosti</w:t>
      </w:r>
    </w:p>
    <w:p w:rsidR="00780302" w:rsidRDefault="00780302" w:rsidP="00780302">
      <w:pPr>
        <w:jc w:val="both"/>
        <w:rPr>
          <w:sz w:val="24"/>
          <w:szCs w:val="24"/>
        </w:rPr>
      </w:pPr>
      <w:r>
        <w:rPr>
          <w:sz w:val="24"/>
          <w:szCs w:val="24"/>
        </w:rPr>
        <w:t xml:space="preserve">Tato směrnice vychází ze zákona 250/2000 Sb. a zřizovací listiny organizace </w:t>
      </w:r>
    </w:p>
    <w:p w:rsidR="00780302" w:rsidRDefault="00780302" w:rsidP="00780302">
      <w:pPr>
        <w:jc w:val="both"/>
        <w:rPr>
          <w:sz w:val="24"/>
          <w:szCs w:val="24"/>
        </w:rPr>
      </w:pPr>
    </w:p>
    <w:p w:rsidR="00780302" w:rsidRDefault="00780302" w:rsidP="00780302">
      <w:pPr>
        <w:jc w:val="both"/>
        <w:rPr>
          <w:sz w:val="24"/>
          <w:szCs w:val="24"/>
        </w:rPr>
      </w:pPr>
      <w:r>
        <w:rPr>
          <w:sz w:val="24"/>
          <w:szCs w:val="24"/>
        </w:rPr>
        <w:t>Škola provádí doplňkovou činnost (dále jen DČ) tak, aby nebylo omezováno či narušováno základní poslání školy. To znamená, že nesmí být vykonávána na úkor hlavní činnosti školy. Smyslem DČ je snižování provozních nákladů hlavní činnosti.</w:t>
      </w:r>
    </w:p>
    <w:p w:rsidR="00780302" w:rsidRDefault="00780302" w:rsidP="00780302">
      <w:pPr>
        <w:jc w:val="center"/>
        <w:rPr>
          <w:b/>
          <w:sz w:val="24"/>
          <w:szCs w:val="24"/>
        </w:rPr>
      </w:pPr>
      <w:r>
        <w:rPr>
          <w:b/>
          <w:sz w:val="24"/>
          <w:szCs w:val="24"/>
        </w:rPr>
        <w:t>I.</w:t>
      </w:r>
    </w:p>
    <w:p w:rsidR="00780302" w:rsidRDefault="00780302" w:rsidP="00780302">
      <w:pPr>
        <w:jc w:val="both"/>
        <w:rPr>
          <w:b/>
          <w:sz w:val="24"/>
          <w:szCs w:val="24"/>
        </w:rPr>
      </w:pPr>
      <w:r>
        <w:rPr>
          <w:b/>
          <w:sz w:val="24"/>
          <w:szCs w:val="24"/>
        </w:rPr>
        <w:t>Vykonávaný druh a rozsah DČ</w:t>
      </w:r>
    </w:p>
    <w:p w:rsidR="00780302" w:rsidRDefault="00780302" w:rsidP="00780302">
      <w:pPr>
        <w:pStyle w:val="Odstavecseseznamem"/>
        <w:numPr>
          <w:ilvl w:val="0"/>
          <w:numId w:val="2"/>
        </w:numPr>
        <w:jc w:val="both"/>
        <w:rPr>
          <w:sz w:val="24"/>
          <w:szCs w:val="24"/>
        </w:rPr>
      </w:pPr>
      <w:r>
        <w:rPr>
          <w:sz w:val="24"/>
          <w:szCs w:val="24"/>
        </w:rPr>
        <w:t>Výroba jídel pro tzv. cizí strávníky v pracovních dnech do tabulkové kapacity jídelny a ve dnech, kdy není v ŠJ provoz</w:t>
      </w:r>
    </w:p>
    <w:p w:rsidR="00780302" w:rsidRDefault="00780302" w:rsidP="00780302">
      <w:pPr>
        <w:pStyle w:val="Odstavecseseznamem"/>
        <w:jc w:val="both"/>
        <w:rPr>
          <w:sz w:val="24"/>
          <w:szCs w:val="24"/>
        </w:rPr>
      </w:pPr>
    </w:p>
    <w:p w:rsidR="00780302" w:rsidRDefault="00780302" w:rsidP="00780302">
      <w:pPr>
        <w:pStyle w:val="Odstavecseseznamem"/>
        <w:jc w:val="center"/>
        <w:rPr>
          <w:b/>
          <w:sz w:val="24"/>
          <w:szCs w:val="24"/>
        </w:rPr>
      </w:pPr>
      <w:r>
        <w:rPr>
          <w:b/>
          <w:sz w:val="24"/>
          <w:szCs w:val="24"/>
        </w:rPr>
        <w:t>II.</w:t>
      </w:r>
    </w:p>
    <w:p w:rsidR="00780302" w:rsidRPr="00780302" w:rsidRDefault="00780302" w:rsidP="00780302">
      <w:pPr>
        <w:jc w:val="both"/>
        <w:rPr>
          <w:b/>
          <w:sz w:val="24"/>
          <w:szCs w:val="24"/>
        </w:rPr>
      </w:pPr>
      <w:r w:rsidRPr="00780302">
        <w:rPr>
          <w:b/>
          <w:sz w:val="24"/>
          <w:szCs w:val="24"/>
        </w:rPr>
        <w:t>Podmínky provádění DČ</w:t>
      </w:r>
    </w:p>
    <w:p w:rsidR="00780302" w:rsidRPr="006F4629" w:rsidRDefault="00EA4920" w:rsidP="00780302">
      <w:pPr>
        <w:pStyle w:val="Odstavecseseznamem"/>
        <w:numPr>
          <w:ilvl w:val="0"/>
          <w:numId w:val="2"/>
        </w:numPr>
        <w:jc w:val="both"/>
        <w:rPr>
          <w:b/>
          <w:sz w:val="24"/>
          <w:szCs w:val="24"/>
        </w:rPr>
      </w:pPr>
      <w:r>
        <w:rPr>
          <w:sz w:val="24"/>
          <w:szCs w:val="24"/>
        </w:rPr>
        <w:t>Základní podmínkou pro provádění DČ je to, že nesmí být omezováno či narušováno vyučování, provoz školní družiny, zájmová činnost žáků a provoz školní jídelny. Při provozování DČ musí být vždy dodržovány kromě závazných obecných předpisů i vnitřní předpisy školy, zejména pak vnitřní řád, směrnice k ochraně majetku, pracovní řád, předpisy BOZP apod.</w:t>
      </w:r>
    </w:p>
    <w:p w:rsidR="006F4629" w:rsidRDefault="006F4629" w:rsidP="006F4629">
      <w:pPr>
        <w:pStyle w:val="Odstavecseseznamem"/>
        <w:jc w:val="both"/>
        <w:rPr>
          <w:sz w:val="24"/>
          <w:szCs w:val="24"/>
        </w:rPr>
      </w:pPr>
    </w:p>
    <w:p w:rsidR="000C7828" w:rsidRDefault="000C7828" w:rsidP="006F4629">
      <w:pPr>
        <w:pStyle w:val="Odstavecseseznamem"/>
        <w:jc w:val="center"/>
        <w:rPr>
          <w:b/>
          <w:sz w:val="24"/>
          <w:szCs w:val="24"/>
        </w:rPr>
      </w:pPr>
    </w:p>
    <w:p w:rsidR="000C7828" w:rsidRDefault="000C7828" w:rsidP="006F4629">
      <w:pPr>
        <w:pStyle w:val="Odstavecseseznamem"/>
        <w:jc w:val="center"/>
        <w:rPr>
          <w:b/>
          <w:sz w:val="24"/>
          <w:szCs w:val="24"/>
        </w:rPr>
      </w:pPr>
    </w:p>
    <w:p w:rsidR="000C7828" w:rsidRDefault="000C7828" w:rsidP="006F4629">
      <w:pPr>
        <w:pStyle w:val="Odstavecseseznamem"/>
        <w:jc w:val="center"/>
        <w:rPr>
          <w:b/>
          <w:sz w:val="24"/>
          <w:szCs w:val="24"/>
        </w:rPr>
      </w:pPr>
    </w:p>
    <w:p w:rsidR="000C7828" w:rsidRDefault="000C7828" w:rsidP="006F4629">
      <w:pPr>
        <w:pStyle w:val="Odstavecseseznamem"/>
        <w:jc w:val="center"/>
        <w:rPr>
          <w:b/>
          <w:sz w:val="24"/>
          <w:szCs w:val="24"/>
        </w:rPr>
      </w:pPr>
    </w:p>
    <w:p w:rsidR="000C7828" w:rsidRDefault="000C7828" w:rsidP="006F4629">
      <w:pPr>
        <w:pStyle w:val="Odstavecseseznamem"/>
        <w:jc w:val="center"/>
        <w:rPr>
          <w:b/>
          <w:sz w:val="24"/>
          <w:szCs w:val="24"/>
        </w:rPr>
      </w:pPr>
    </w:p>
    <w:p w:rsidR="006F4629" w:rsidRDefault="006F4629" w:rsidP="006F4629">
      <w:pPr>
        <w:pStyle w:val="Odstavecseseznamem"/>
        <w:jc w:val="center"/>
        <w:rPr>
          <w:b/>
          <w:sz w:val="24"/>
          <w:szCs w:val="24"/>
        </w:rPr>
      </w:pPr>
      <w:r>
        <w:rPr>
          <w:b/>
          <w:sz w:val="24"/>
          <w:szCs w:val="24"/>
        </w:rPr>
        <w:t>III.</w:t>
      </w:r>
    </w:p>
    <w:p w:rsidR="006F4629" w:rsidRDefault="006F4629" w:rsidP="006F4629">
      <w:pPr>
        <w:rPr>
          <w:b/>
          <w:sz w:val="24"/>
          <w:szCs w:val="24"/>
        </w:rPr>
      </w:pPr>
      <w:r>
        <w:rPr>
          <w:b/>
          <w:sz w:val="24"/>
          <w:szCs w:val="24"/>
        </w:rPr>
        <w:t>Ekonomické aspekty</w:t>
      </w:r>
    </w:p>
    <w:p w:rsidR="006F4629" w:rsidRPr="00084A2A" w:rsidRDefault="006F4629" w:rsidP="006F4629">
      <w:pPr>
        <w:pStyle w:val="Odstavecseseznamem"/>
        <w:numPr>
          <w:ilvl w:val="0"/>
          <w:numId w:val="2"/>
        </w:numPr>
        <w:rPr>
          <w:b/>
          <w:sz w:val="24"/>
          <w:szCs w:val="24"/>
        </w:rPr>
      </w:pPr>
      <w:r>
        <w:rPr>
          <w:sz w:val="24"/>
          <w:szCs w:val="24"/>
        </w:rPr>
        <w:t>Prostředky získané DČ (zisk) jsou určeny na náklady na její provozování (elektrická energie, topení, vodné, amortizace) včetně platu pracovníka a zákonných odvodů.</w:t>
      </w:r>
      <w:r w:rsidR="00084A2A">
        <w:rPr>
          <w:sz w:val="24"/>
          <w:szCs w:val="24"/>
        </w:rPr>
        <w:t xml:space="preserve"> Zisk je určen také na dokrytí státním rozpočtem nepokrytých potřeb v hlavní činnosti.</w:t>
      </w:r>
      <w:r>
        <w:rPr>
          <w:sz w:val="24"/>
          <w:szCs w:val="24"/>
        </w:rPr>
        <w:t xml:space="preserve"> DČ je účetně oddělena od činnosti hlavní. Na provádění DČ není možné použít prostředky ze státního rozpočtu a DČ nesmí být v ročním úhrnu ztrátová.</w:t>
      </w:r>
    </w:p>
    <w:p w:rsidR="00084A2A" w:rsidRPr="00C66288" w:rsidRDefault="00084A2A" w:rsidP="006F4629">
      <w:pPr>
        <w:pStyle w:val="Odstavecseseznamem"/>
        <w:numPr>
          <w:ilvl w:val="0"/>
          <w:numId w:val="2"/>
        </w:numPr>
        <w:rPr>
          <w:b/>
          <w:sz w:val="24"/>
          <w:szCs w:val="24"/>
        </w:rPr>
      </w:pPr>
      <w:r>
        <w:rPr>
          <w:sz w:val="24"/>
          <w:szCs w:val="24"/>
        </w:rPr>
        <w:t>Na konci hospodářského roku se spojí hospodářský výsledek v hlavní činnosti a hospodářský výsledek DČ po zdanění do jednoho zlepšeného hospodářského výsledku. Ten je rozdělen do fondů dle vyhlášky č. 250/2000 Sb. Ke zkvalitnění hlavní činnosti se prostředky z DČ nepoužívají tedy p</w:t>
      </w:r>
      <w:r w:rsidR="00C66288">
        <w:rPr>
          <w:sz w:val="24"/>
          <w:szCs w:val="24"/>
        </w:rPr>
        <w:t>římo, ale prostřednictvím fondů</w:t>
      </w:r>
      <w:r>
        <w:rPr>
          <w:sz w:val="24"/>
          <w:szCs w:val="24"/>
        </w:rPr>
        <w:t>.</w:t>
      </w:r>
    </w:p>
    <w:p w:rsidR="00C66288" w:rsidRDefault="00C66288" w:rsidP="00C66288">
      <w:pPr>
        <w:pStyle w:val="Odstavecseseznamem"/>
        <w:rPr>
          <w:sz w:val="24"/>
          <w:szCs w:val="24"/>
        </w:rPr>
      </w:pPr>
    </w:p>
    <w:p w:rsidR="00C66288" w:rsidRDefault="00C66288" w:rsidP="00C66288">
      <w:pPr>
        <w:pStyle w:val="Odstavecseseznamem"/>
        <w:jc w:val="center"/>
        <w:rPr>
          <w:sz w:val="24"/>
          <w:szCs w:val="24"/>
        </w:rPr>
      </w:pPr>
    </w:p>
    <w:p w:rsidR="00C66288" w:rsidRPr="00D05915" w:rsidRDefault="00C66288" w:rsidP="00C66288">
      <w:pPr>
        <w:pStyle w:val="Odstavecseseznamem"/>
        <w:jc w:val="center"/>
        <w:rPr>
          <w:b/>
          <w:sz w:val="24"/>
          <w:szCs w:val="24"/>
        </w:rPr>
      </w:pPr>
      <w:r w:rsidRPr="00D05915">
        <w:rPr>
          <w:b/>
          <w:sz w:val="24"/>
          <w:szCs w:val="24"/>
        </w:rPr>
        <w:t>IV.</w:t>
      </w:r>
    </w:p>
    <w:p w:rsidR="00C66288" w:rsidRDefault="00C66288" w:rsidP="00C66288">
      <w:pPr>
        <w:jc w:val="both"/>
        <w:rPr>
          <w:b/>
          <w:sz w:val="24"/>
          <w:szCs w:val="24"/>
        </w:rPr>
      </w:pPr>
      <w:r>
        <w:rPr>
          <w:b/>
          <w:sz w:val="24"/>
          <w:szCs w:val="24"/>
        </w:rPr>
        <w:t>Evidence pracovníka a jeho odměňování</w:t>
      </w:r>
    </w:p>
    <w:p w:rsidR="00C66288" w:rsidRDefault="00C66288" w:rsidP="00C66288">
      <w:pPr>
        <w:pStyle w:val="Odstavecseseznamem"/>
        <w:numPr>
          <w:ilvl w:val="0"/>
          <w:numId w:val="3"/>
        </w:numPr>
        <w:jc w:val="both"/>
        <w:rPr>
          <w:sz w:val="24"/>
          <w:szCs w:val="24"/>
        </w:rPr>
      </w:pPr>
      <w:r>
        <w:rPr>
          <w:sz w:val="24"/>
          <w:szCs w:val="24"/>
        </w:rPr>
        <w:t xml:space="preserve">Evidence pracovníka DČ je vedena odděleně od hlavní činnosti. Pracovník pracuje v DČ na základě pracovní smlouvy, dohody o pracovní činnosti, dohody o provedení práce nebo ji vykonává nad rámec povinností vyplývající z pracovního poměru (ohodnoceno formou odměny). </w:t>
      </w:r>
    </w:p>
    <w:p w:rsidR="00C66288" w:rsidRDefault="00C66288" w:rsidP="00C66288">
      <w:pPr>
        <w:pStyle w:val="Odstavecseseznamem"/>
        <w:jc w:val="both"/>
        <w:rPr>
          <w:sz w:val="24"/>
          <w:szCs w:val="24"/>
        </w:rPr>
      </w:pPr>
    </w:p>
    <w:p w:rsidR="00C66288" w:rsidRDefault="00C66288" w:rsidP="00C66288">
      <w:pPr>
        <w:pStyle w:val="Odstavecseseznamem"/>
        <w:jc w:val="center"/>
        <w:rPr>
          <w:b/>
          <w:sz w:val="24"/>
          <w:szCs w:val="24"/>
        </w:rPr>
      </w:pPr>
      <w:r>
        <w:rPr>
          <w:b/>
          <w:sz w:val="24"/>
          <w:szCs w:val="24"/>
        </w:rPr>
        <w:t>V.</w:t>
      </w:r>
    </w:p>
    <w:p w:rsidR="00C66288" w:rsidRDefault="007B67DA" w:rsidP="00C66288">
      <w:pPr>
        <w:jc w:val="both"/>
        <w:rPr>
          <w:b/>
          <w:sz w:val="24"/>
          <w:szCs w:val="24"/>
        </w:rPr>
      </w:pPr>
      <w:r>
        <w:rPr>
          <w:b/>
          <w:sz w:val="24"/>
          <w:szCs w:val="24"/>
        </w:rPr>
        <w:t>Ceny služby</w:t>
      </w:r>
    </w:p>
    <w:p w:rsidR="00C66288" w:rsidRDefault="007B67DA" w:rsidP="00C66288">
      <w:pPr>
        <w:pStyle w:val="Odstavecseseznamem"/>
        <w:numPr>
          <w:ilvl w:val="0"/>
          <w:numId w:val="3"/>
        </w:numPr>
        <w:jc w:val="both"/>
        <w:rPr>
          <w:sz w:val="24"/>
          <w:szCs w:val="24"/>
        </w:rPr>
      </w:pPr>
      <w:r>
        <w:rPr>
          <w:sz w:val="24"/>
          <w:szCs w:val="24"/>
        </w:rPr>
        <w:t>Ceny za služby v oblasti stravování jsou stanoveny vždy na základě dohody mezi odběratelem a naší organizací a jsou tedy smluvní.</w:t>
      </w:r>
    </w:p>
    <w:p w:rsidR="007B67DA" w:rsidRDefault="007B67DA" w:rsidP="00C66288">
      <w:pPr>
        <w:pStyle w:val="Odstavecseseznamem"/>
        <w:numPr>
          <w:ilvl w:val="0"/>
          <w:numId w:val="3"/>
        </w:numPr>
        <w:jc w:val="both"/>
        <w:rPr>
          <w:sz w:val="24"/>
          <w:szCs w:val="24"/>
        </w:rPr>
      </w:pPr>
      <w:r>
        <w:rPr>
          <w:sz w:val="24"/>
          <w:szCs w:val="24"/>
        </w:rPr>
        <w:t>Cena hlavního jídla odebraného dle jídelního lístku je stanovena následovně:</w:t>
      </w:r>
    </w:p>
    <w:tbl>
      <w:tblPr>
        <w:tblStyle w:val="Mkatabulky"/>
        <w:tblW w:w="8959" w:type="dxa"/>
        <w:tblInd w:w="-34" w:type="dxa"/>
        <w:tblLook w:val="04A0" w:firstRow="1" w:lastRow="0" w:firstColumn="1" w:lastColumn="0" w:noHBand="0" w:noVBand="1"/>
      </w:tblPr>
      <w:tblGrid>
        <w:gridCol w:w="1702"/>
        <w:gridCol w:w="1984"/>
        <w:gridCol w:w="1701"/>
        <w:gridCol w:w="992"/>
        <w:gridCol w:w="1560"/>
        <w:gridCol w:w="1020"/>
      </w:tblGrid>
      <w:tr w:rsidR="00643A60" w:rsidTr="00643A60">
        <w:tc>
          <w:tcPr>
            <w:tcW w:w="1702" w:type="dxa"/>
          </w:tcPr>
          <w:p w:rsidR="00643A60" w:rsidRDefault="00643A60" w:rsidP="007B67DA">
            <w:pPr>
              <w:pStyle w:val="Odstavecseseznamem"/>
              <w:ind w:left="0"/>
              <w:jc w:val="both"/>
              <w:rPr>
                <w:sz w:val="24"/>
                <w:szCs w:val="24"/>
              </w:rPr>
            </w:pPr>
            <w:r>
              <w:rPr>
                <w:sz w:val="24"/>
                <w:szCs w:val="24"/>
              </w:rPr>
              <w:t>Služba</w:t>
            </w:r>
          </w:p>
        </w:tc>
        <w:tc>
          <w:tcPr>
            <w:tcW w:w="1984" w:type="dxa"/>
          </w:tcPr>
          <w:p w:rsidR="00643A60" w:rsidRDefault="000C7828" w:rsidP="007B67DA">
            <w:pPr>
              <w:pStyle w:val="Odstavecseseznamem"/>
              <w:ind w:left="0"/>
              <w:jc w:val="both"/>
              <w:rPr>
                <w:sz w:val="24"/>
                <w:szCs w:val="24"/>
              </w:rPr>
            </w:pPr>
            <w:r>
              <w:rPr>
                <w:sz w:val="24"/>
                <w:szCs w:val="24"/>
              </w:rPr>
              <w:t>m</w:t>
            </w:r>
            <w:r w:rsidR="00643A60">
              <w:rPr>
                <w:sz w:val="24"/>
                <w:szCs w:val="24"/>
              </w:rPr>
              <w:t xml:space="preserve">zdové náklady </w:t>
            </w:r>
          </w:p>
          <w:p w:rsidR="00643A60" w:rsidRDefault="00643A60" w:rsidP="007B67DA">
            <w:pPr>
              <w:pStyle w:val="Odstavecseseznamem"/>
              <w:ind w:left="0"/>
              <w:jc w:val="both"/>
              <w:rPr>
                <w:sz w:val="24"/>
                <w:szCs w:val="24"/>
              </w:rPr>
            </w:pPr>
            <w:r>
              <w:rPr>
                <w:sz w:val="24"/>
                <w:szCs w:val="24"/>
              </w:rPr>
              <w:t>vč. odvodů</w:t>
            </w:r>
          </w:p>
        </w:tc>
        <w:tc>
          <w:tcPr>
            <w:tcW w:w="1701" w:type="dxa"/>
          </w:tcPr>
          <w:p w:rsidR="00643A60" w:rsidRDefault="000C7828" w:rsidP="007B67DA">
            <w:pPr>
              <w:pStyle w:val="Odstavecseseznamem"/>
              <w:ind w:left="0"/>
              <w:jc w:val="both"/>
              <w:rPr>
                <w:sz w:val="24"/>
                <w:szCs w:val="24"/>
              </w:rPr>
            </w:pPr>
            <w:r>
              <w:rPr>
                <w:sz w:val="24"/>
                <w:szCs w:val="24"/>
              </w:rPr>
              <w:t>o</w:t>
            </w:r>
            <w:r w:rsidR="00643A60">
              <w:rPr>
                <w:sz w:val="24"/>
                <w:szCs w:val="24"/>
              </w:rPr>
              <w:t xml:space="preserve">statní režijní náklady </w:t>
            </w:r>
          </w:p>
        </w:tc>
        <w:tc>
          <w:tcPr>
            <w:tcW w:w="992" w:type="dxa"/>
          </w:tcPr>
          <w:p w:rsidR="00643A60" w:rsidRDefault="00643A60" w:rsidP="007B67DA">
            <w:pPr>
              <w:pStyle w:val="Odstavecseseznamem"/>
              <w:ind w:left="0"/>
              <w:jc w:val="both"/>
              <w:rPr>
                <w:sz w:val="24"/>
                <w:szCs w:val="24"/>
              </w:rPr>
            </w:pPr>
            <w:r>
              <w:rPr>
                <w:sz w:val="24"/>
                <w:szCs w:val="24"/>
              </w:rPr>
              <w:t>zisk</w:t>
            </w:r>
          </w:p>
        </w:tc>
        <w:tc>
          <w:tcPr>
            <w:tcW w:w="1560" w:type="dxa"/>
          </w:tcPr>
          <w:p w:rsidR="00643A60" w:rsidRDefault="000C7828" w:rsidP="007B67DA">
            <w:pPr>
              <w:pStyle w:val="Odstavecseseznamem"/>
              <w:ind w:left="0"/>
              <w:jc w:val="both"/>
              <w:rPr>
                <w:sz w:val="24"/>
                <w:szCs w:val="24"/>
              </w:rPr>
            </w:pPr>
            <w:r>
              <w:rPr>
                <w:sz w:val="24"/>
                <w:szCs w:val="24"/>
              </w:rPr>
              <w:t>potraviny</w:t>
            </w:r>
          </w:p>
        </w:tc>
        <w:tc>
          <w:tcPr>
            <w:tcW w:w="1020" w:type="dxa"/>
          </w:tcPr>
          <w:p w:rsidR="00643A60" w:rsidRDefault="00643A60" w:rsidP="00917222">
            <w:pPr>
              <w:pStyle w:val="Odstavecseseznamem"/>
              <w:ind w:left="0"/>
              <w:jc w:val="both"/>
              <w:rPr>
                <w:sz w:val="24"/>
                <w:szCs w:val="24"/>
              </w:rPr>
            </w:pPr>
            <w:r>
              <w:rPr>
                <w:sz w:val="24"/>
                <w:szCs w:val="24"/>
              </w:rPr>
              <w:t>celkem</w:t>
            </w:r>
          </w:p>
        </w:tc>
      </w:tr>
      <w:tr w:rsidR="00643A60" w:rsidTr="00643A60">
        <w:tc>
          <w:tcPr>
            <w:tcW w:w="1702" w:type="dxa"/>
          </w:tcPr>
          <w:p w:rsidR="00643A60" w:rsidRDefault="00643A60" w:rsidP="007B67DA">
            <w:pPr>
              <w:pStyle w:val="Odstavecseseznamem"/>
              <w:ind w:left="0"/>
              <w:jc w:val="both"/>
              <w:rPr>
                <w:sz w:val="24"/>
                <w:szCs w:val="24"/>
              </w:rPr>
            </w:pPr>
            <w:r>
              <w:rPr>
                <w:sz w:val="24"/>
                <w:szCs w:val="24"/>
              </w:rPr>
              <w:t>Hlavní jídlo</w:t>
            </w:r>
          </w:p>
        </w:tc>
        <w:tc>
          <w:tcPr>
            <w:tcW w:w="1984" w:type="dxa"/>
          </w:tcPr>
          <w:p w:rsidR="00643A60" w:rsidRDefault="00643A60" w:rsidP="007B67DA">
            <w:pPr>
              <w:pStyle w:val="Odstavecseseznamem"/>
              <w:ind w:left="0"/>
              <w:jc w:val="both"/>
              <w:rPr>
                <w:sz w:val="24"/>
                <w:szCs w:val="24"/>
              </w:rPr>
            </w:pPr>
            <w:r>
              <w:rPr>
                <w:sz w:val="24"/>
                <w:szCs w:val="24"/>
              </w:rPr>
              <w:t>20,-</w:t>
            </w:r>
          </w:p>
        </w:tc>
        <w:tc>
          <w:tcPr>
            <w:tcW w:w="1701" w:type="dxa"/>
          </w:tcPr>
          <w:p w:rsidR="00643A60" w:rsidRDefault="00643A60" w:rsidP="007B67DA">
            <w:pPr>
              <w:pStyle w:val="Odstavecseseznamem"/>
              <w:ind w:left="0"/>
              <w:jc w:val="both"/>
              <w:rPr>
                <w:sz w:val="24"/>
                <w:szCs w:val="24"/>
              </w:rPr>
            </w:pPr>
            <w:r>
              <w:rPr>
                <w:sz w:val="24"/>
                <w:szCs w:val="24"/>
              </w:rPr>
              <w:t>18</w:t>
            </w:r>
          </w:p>
        </w:tc>
        <w:tc>
          <w:tcPr>
            <w:tcW w:w="992" w:type="dxa"/>
          </w:tcPr>
          <w:p w:rsidR="00643A60" w:rsidRDefault="00643A60" w:rsidP="007B67DA">
            <w:pPr>
              <w:pStyle w:val="Odstavecseseznamem"/>
              <w:ind w:left="0"/>
              <w:jc w:val="both"/>
              <w:rPr>
                <w:sz w:val="24"/>
                <w:szCs w:val="24"/>
              </w:rPr>
            </w:pPr>
            <w:r>
              <w:rPr>
                <w:sz w:val="24"/>
                <w:szCs w:val="24"/>
              </w:rPr>
              <w:t>1.00</w:t>
            </w:r>
          </w:p>
        </w:tc>
        <w:tc>
          <w:tcPr>
            <w:tcW w:w="1560" w:type="dxa"/>
          </w:tcPr>
          <w:p w:rsidR="00643A60" w:rsidRDefault="000C7828" w:rsidP="007B67DA">
            <w:pPr>
              <w:pStyle w:val="Odstavecseseznamem"/>
              <w:ind w:left="0"/>
              <w:jc w:val="both"/>
              <w:rPr>
                <w:sz w:val="24"/>
                <w:szCs w:val="24"/>
              </w:rPr>
            </w:pPr>
            <w:r>
              <w:rPr>
                <w:sz w:val="24"/>
                <w:szCs w:val="24"/>
              </w:rPr>
              <w:t>28,-</w:t>
            </w:r>
          </w:p>
        </w:tc>
        <w:tc>
          <w:tcPr>
            <w:tcW w:w="1020" w:type="dxa"/>
          </w:tcPr>
          <w:p w:rsidR="00643A60" w:rsidRDefault="000C7828" w:rsidP="00917222">
            <w:pPr>
              <w:pStyle w:val="Odstavecseseznamem"/>
              <w:ind w:left="0"/>
              <w:jc w:val="both"/>
              <w:rPr>
                <w:sz w:val="24"/>
                <w:szCs w:val="24"/>
              </w:rPr>
            </w:pPr>
            <w:r>
              <w:rPr>
                <w:sz w:val="24"/>
                <w:szCs w:val="24"/>
              </w:rPr>
              <w:t>67,-</w:t>
            </w:r>
          </w:p>
        </w:tc>
      </w:tr>
    </w:tbl>
    <w:p w:rsidR="007B67DA" w:rsidRDefault="007B67DA" w:rsidP="007B67DA">
      <w:pPr>
        <w:pStyle w:val="Odstavecseseznamem"/>
        <w:jc w:val="both"/>
        <w:rPr>
          <w:sz w:val="24"/>
          <w:szCs w:val="24"/>
        </w:rPr>
      </w:pPr>
    </w:p>
    <w:p w:rsidR="007B67DA" w:rsidRDefault="007B67DA" w:rsidP="007B67DA">
      <w:pPr>
        <w:pStyle w:val="Odstavecseseznamem"/>
        <w:jc w:val="both"/>
        <w:rPr>
          <w:sz w:val="24"/>
          <w:szCs w:val="24"/>
        </w:rPr>
      </w:pPr>
      <w:r>
        <w:rPr>
          <w:sz w:val="24"/>
          <w:szCs w:val="24"/>
        </w:rPr>
        <w:t>Ostatní režijní náklady jsou náklady na otop, elektrický pr</w:t>
      </w:r>
      <w:r w:rsidR="000C7828">
        <w:rPr>
          <w:sz w:val="24"/>
          <w:szCs w:val="24"/>
        </w:rPr>
        <w:t>oud, vodné a stočné, amortizaci, úklidové prostředky.</w:t>
      </w:r>
    </w:p>
    <w:p w:rsidR="007B67DA" w:rsidRDefault="007B67DA" w:rsidP="007B67DA">
      <w:pPr>
        <w:pStyle w:val="Odstavecseseznamem"/>
        <w:jc w:val="both"/>
        <w:rPr>
          <w:sz w:val="24"/>
          <w:szCs w:val="24"/>
        </w:rPr>
      </w:pPr>
      <w:r>
        <w:rPr>
          <w:sz w:val="24"/>
          <w:szCs w:val="24"/>
        </w:rPr>
        <w:t>Při ceně potravin 2</w:t>
      </w:r>
      <w:r w:rsidR="000C7828">
        <w:rPr>
          <w:sz w:val="24"/>
          <w:szCs w:val="24"/>
        </w:rPr>
        <w:t>8</w:t>
      </w:r>
      <w:r>
        <w:rPr>
          <w:sz w:val="24"/>
          <w:szCs w:val="24"/>
        </w:rPr>
        <w:t>,00 Kč včetně DPH (v případě požadavku na jídlo ve vyšší ceně potravin se tato cena příslušně upraví – hodnota 2</w:t>
      </w:r>
      <w:r w:rsidR="000C7828">
        <w:rPr>
          <w:sz w:val="24"/>
          <w:szCs w:val="24"/>
        </w:rPr>
        <w:t>8</w:t>
      </w:r>
      <w:r>
        <w:rPr>
          <w:sz w:val="24"/>
          <w:szCs w:val="24"/>
        </w:rPr>
        <w:t>,00 Kč je minimální).</w:t>
      </w:r>
    </w:p>
    <w:p w:rsidR="00D05915" w:rsidRDefault="00D05915" w:rsidP="007B67DA">
      <w:pPr>
        <w:pStyle w:val="Odstavecseseznamem"/>
        <w:jc w:val="both"/>
        <w:rPr>
          <w:sz w:val="24"/>
          <w:szCs w:val="24"/>
        </w:rPr>
      </w:pPr>
      <w:r>
        <w:rPr>
          <w:sz w:val="24"/>
          <w:szCs w:val="24"/>
        </w:rPr>
        <w:t>Při úpravě cen energií a dalších vstupních nákladů budou ceny služeb patřičně upraveny (dodatek ke směrnici).</w:t>
      </w:r>
    </w:p>
    <w:p w:rsidR="00D05915" w:rsidRDefault="00D05915" w:rsidP="007B67DA">
      <w:pPr>
        <w:pStyle w:val="Odstavecseseznamem"/>
        <w:jc w:val="both"/>
        <w:rPr>
          <w:sz w:val="24"/>
          <w:szCs w:val="24"/>
        </w:rPr>
      </w:pPr>
    </w:p>
    <w:p w:rsidR="000C7828" w:rsidRDefault="000C7828" w:rsidP="00D05915">
      <w:pPr>
        <w:pStyle w:val="Odstavecseseznamem"/>
        <w:jc w:val="center"/>
        <w:rPr>
          <w:b/>
          <w:sz w:val="24"/>
          <w:szCs w:val="24"/>
        </w:rPr>
      </w:pPr>
    </w:p>
    <w:p w:rsidR="000C7828" w:rsidRDefault="000C7828" w:rsidP="00D05915">
      <w:pPr>
        <w:pStyle w:val="Odstavecseseznamem"/>
        <w:jc w:val="center"/>
        <w:rPr>
          <w:b/>
          <w:sz w:val="24"/>
          <w:szCs w:val="24"/>
        </w:rPr>
      </w:pPr>
    </w:p>
    <w:p w:rsidR="00D05915" w:rsidRDefault="00D05915" w:rsidP="00D05915">
      <w:pPr>
        <w:pStyle w:val="Odstavecseseznamem"/>
        <w:jc w:val="center"/>
        <w:rPr>
          <w:b/>
          <w:sz w:val="24"/>
          <w:szCs w:val="24"/>
        </w:rPr>
      </w:pPr>
      <w:r w:rsidRPr="00D05915">
        <w:rPr>
          <w:b/>
          <w:sz w:val="24"/>
          <w:szCs w:val="24"/>
        </w:rPr>
        <w:t>VI.</w:t>
      </w:r>
    </w:p>
    <w:p w:rsidR="000C7828" w:rsidRDefault="000C7828" w:rsidP="00D05915">
      <w:pPr>
        <w:jc w:val="both"/>
        <w:rPr>
          <w:b/>
          <w:sz w:val="24"/>
          <w:szCs w:val="24"/>
        </w:rPr>
      </w:pPr>
    </w:p>
    <w:p w:rsidR="00D05915" w:rsidRDefault="00D05915" w:rsidP="00D05915">
      <w:pPr>
        <w:jc w:val="both"/>
        <w:rPr>
          <w:b/>
          <w:sz w:val="24"/>
          <w:szCs w:val="24"/>
        </w:rPr>
      </w:pPr>
      <w:r>
        <w:rPr>
          <w:b/>
          <w:sz w:val="24"/>
          <w:szCs w:val="24"/>
        </w:rPr>
        <w:t>Závěrečné ustanovení</w:t>
      </w:r>
    </w:p>
    <w:p w:rsidR="00D05915" w:rsidRDefault="00D05915" w:rsidP="00D05915">
      <w:pPr>
        <w:jc w:val="both"/>
        <w:rPr>
          <w:sz w:val="24"/>
          <w:szCs w:val="24"/>
        </w:rPr>
      </w:pPr>
      <w:r>
        <w:rPr>
          <w:sz w:val="24"/>
          <w:szCs w:val="24"/>
        </w:rPr>
        <w:t xml:space="preserve">Tato směrnice nabývá účinnosti od 1. </w:t>
      </w:r>
      <w:r w:rsidR="000C7828">
        <w:rPr>
          <w:sz w:val="24"/>
          <w:szCs w:val="24"/>
        </w:rPr>
        <w:t>9</w:t>
      </w:r>
      <w:bookmarkStart w:id="0" w:name="_GoBack"/>
      <w:bookmarkEnd w:id="0"/>
      <w:r>
        <w:rPr>
          <w:sz w:val="24"/>
          <w:szCs w:val="24"/>
        </w:rPr>
        <w:t>. 2014</w:t>
      </w:r>
    </w:p>
    <w:p w:rsidR="00D05915" w:rsidRPr="00D05915" w:rsidRDefault="00D05915" w:rsidP="00D05915">
      <w:pPr>
        <w:jc w:val="both"/>
        <w:rPr>
          <w:sz w:val="24"/>
          <w:szCs w:val="24"/>
        </w:rPr>
      </w:pPr>
      <w:r>
        <w:rPr>
          <w:sz w:val="24"/>
          <w:szCs w:val="24"/>
        </w:rPr>
        <w:t xml:space="preserve">                                                                                 </w:t>
      </w:r>
    </w:p>
    <w:p w:rsidR="00D05915" w:rsidRDefault="00D05915" w:rsidP="00D05915">
      <w:pPr>
        <w:pStyle w:val="Odstavecseseznamem"/>
        <w:jc w:val="center"/>
        <w:rPr>
          <w:sz w:val="24"/>
          <w:szCs w:val="24"/>
        </w:rPr>
      </w:pPr>
      <w:r>
        <w:rPr>
          <w:sz w:val="24"/>
          <w:szCs w:val="24"/>
        </w:rPr>
        <w:t>Mgr. Blanka Vlasáková</w:t>
      </w:r>
    </w:p>
    <w:p w:rsidR="00D05915" w:rsidRPr="00C66288" w:rsidRDefault="00D05915" w:rsidP="00D05915">
      <w:pPr>
        <w:pStyle w:val="Odstavecseseznamem"/>
        <w:jc w:val="center"/>
        <w:rPr>
          <w:sz w:val="24"/>
          <w:szCs w:val="24"/>
        </w:rPr>
      </w:pPr>
      <w:r>
        <w:rPr>
          <w:sz w:val="24"/>
          <w:szCs w:val="24"/>
        </w:rPr>
        <w:t>ředitelka ZŠ a MŠ Dříteň</w:t>
      </w:r>
    </w:p>
    <w:sectPr w:rsidR="00D05915" w:rsidRPr="00C66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010"/>
    <w:multiLevelType w:val="hybridMultilevel"/>
    <w:tmpl w:val="295AA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DA2AC7"/>
    <w:multiLevelType w:val="hybridMultilevel"/>
    <w:tmpl w:val="AB405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931066"/>
    <w:multiLevelType w:val="hybridMultilevel"/>
    <w:tmpl w:val="B792E1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2"/>
    <w:rsid w:val="00084A2A"/>
    <w:rsid w:val="000C7828"/>
    <w:rsid w:val="00643A60"/>
    <w:rsid w:val="006F4629"/>
    <w:rsid w:val="00772D16"/>
    <w:rsid w:val="00780302"/>
    <w:rsid w:val="007B67DA"/>
    <w:rsid w:val="008856EA"/>
    <w:rsid w:val="008D357C"/>
    <w:rsid w:val="00A2732D"/>
    <w:rsid w:val="00C66288"/>
    <w:rsid w:val="00D04A13"/>
    <w:rsid w:val="00D05915"/>
    <w:rsid w:val="00EA4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0302"/>
    <w:pPr>
      <w:ind w:left="720"/>
      <w:contextualSpacing/>
    </w:pPr>
  </w:style>
  <w:style w:type="table" w:styleId="Mkatabulky">
    <w:name w:val="Table Grid"/>
    <w:basedOn w:val="Normlntabulka"/>
    <w:uiPriority w:val="59"/>
    <w:rsid w:val="007B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43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0302"/>
    <w:pPr>
      <w:ind w:left="720"/>
      <w:contextualSpacing/>
    </w:pPr>
  </w:style>
  <w:style w:type="table" w:styleId="Mkatabulky">
    <w:name w:val="Table Grid"/>
    <w:basedOn w:val="Normlntabulka"/>
    <w:uiPriority w:val="59"/>
    <w:rsid w:val="007B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43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415</Words>
  <Characters>2450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organization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Vlasakova</dc:creator>
  <cp:lastModifiedBy>? Vlasakova</cp:lastModifiedBy>
  <cp:revision>9</cp:revision>
  <cp:lastPrinted>2014-07-29T10:42:00Z</cp:lastPrinted>
  <dcterms:created xsi:type="dcterms:W3CDTF">2014-06-17T11:38:00Z</dcterms:created>
  <dcterms:modified xsi:type="dcterms:W3CDTF">2014-07-29T10:53:00Z</dcterms:modified>
</cp:coreProperties>
</file>